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5F3B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D45F3B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Голуб Сергiй Михайлович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20.12.2018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D45F3B">
      <w:pPr>
        <w:rPr>
          <w:rFonts w:eastAsia="Times New Roman"/>
          <w:color w:val="000000"/>
        </w:rPr>
      </w:pPr>
    </w:p>
    <w:p w:rsidR="00000000" w:rsidRDefault="00D45F3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D45F3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"Каплинцiвське"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37030, Полтавська обл., Пирятинський район, с. Каплинцi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05529308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(067)460-60-81 -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L.MIshanIna@kernel.ua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D45F3B">
      <w:pPr>
        <w:rPr>
          <w:rFonts w:eastAsia="Times New Roman"/>
          <w:color w:val="000000"/>
        </w:rPr>
      </w:pPr>
    </w:p>
    <w:p w:rsidR="00000000" w:rsidRDefault="00D45F3B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6"/>
        <w:gridCol w:w="2982"/>
        <w:gridCol w:w="2087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18.12.2018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№243 "Вiдомостi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19.12.2018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http://kaplyntcivske.pat.ua/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20.12.2018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D45F3B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D45F3B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прийняття рішення про надання згоди на вчинення значних правочинів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1498"/>
        <w:gridCol w:w="2995"/>
        <w:gridCol w:w="2246"/>
        <w:gridCol w:w="2246"/>
        <w:gridCol w:w="5241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№ з/п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прийняття рішення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Ринкова вартість майна або послуг, що є предметом правочину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Вартість активів емітента за даними останньої річної фінансової звітності (тис. грн)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Співвідношення ринкової вартості майна або послуг, що є предметом правочину, до вартості активів емітента за даними останньої річної фінансової звітності (у відсотках)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Адреса сторінки власного веб-сайту, на якій розміщений протокол загальних зборів акціо</w:t>
            </w:r>
            <w:r>
              <w:rPr>
                <w:rFonts w:eastAsia="Times New Roman"/>
                <w:b/>
                <w:bCs/>
                <w:color w:val="000000"/>
              </w:rPr>
              <w:t xml:space="preserve">нерів/засідання наглядової ради, на яких/якому прийняте рішення 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161.24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D45F3B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17.12.2018 наглядовою радою ПрАТ "Каплинцiвське" (протокол засiдання наглядової ради №б/н вiд 17.12.2018) прийнято рiшення про надання згоди на вчинення значного правочину, рiшення про попереднє схвалення якого було прийнято рiчними загальними зборами акцi</w:t>
            </w:r>
            <w:r>
              <w:rPr>
                <w:rFonts w:eastAsia="Times New Roman"/>
                <w:color w:val="000000"/>
              </w:rPr>
              <w:t>онерiв товариства 24.04.2018 (протокол загальних зборiв акцiонерiв б/н вiд 24.04.2018), а саме: договору позики з СТОВ «Дружба-Нова», за яким ПрАТ "Каплинцiвське" зобов’язується надати СТОВ «Дружба-Нова» короткострокову поворотну безвiдсоткову позику; ринк</w:t>
            </w:r>
            <w:r>
              <w:rPr>
                <w:rFonts w:eastAsia="Times New Roman"/>
                <w:color w:val="000000"/>
              </w:rPr>
              <w:t>ова вартiсть майна або послуг, що є предметом правочину: 150000 тис.грн.; вартiсть активiв емiтента за даними останньої рiчної фiнансової звiтностi: 93028 тис.грн.; спiввiдношення ринкової вартостi майна або послуг, що є предметом правочину, до вартостi ак</w:t>
            </w:r>
            <w:r>
              <w:rPr>
                <w:rFonts w:eastAsia="Times New Roman"/>
                <w:color w:val="000000"/>
              </w:rPr>
              <w:t>тивiв емiтента за даними останньої рiчної фiнансової звiтностi: 161,24%. Загальна кiлькiсть голосiв членiв наглядової ради — 3 голоси, кiлькiсть голосiв, що проголосували «за» — 3 голоси, «проти» прийняття рiшення — немає. Додатковi критерiї для вiднесення</w:t>
            </w:r>
            <w:r>
              <w:rPr>
                <w:rFonts w:eastAsia="Times New Roman"/>
                <w:color w:val="000000"/>
              </w:rPr>
              <w:t xml:space="preserve"> правочину до значного правочину, не передбаченi законодавством, статутом ПрАТ "Каплинцiвське" не передбаченi.</w:t>
            </w:r>
          </w:p>
        </w:tc>
      </w:tr>
    </w:tbl>
    <w:p w:rsidR="00000000" w:rsidRDefault="00D45F3B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noPunctuationKerning/>
  <w:characterSpacingControl w:val="doNotCompress"/>
  <w:compat/>
  <w:rsids>
    <w:rsidRoot w:val="00D45F3B"/>
    <w:rsid w:val="00D4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2018-12-20T20:16:00Z</dcterms:created>
  <dcterms:modified xsi:type="dcterms:W3CDTF">2018-12-20T20:16:00Z</dcterms:modified>
</cp:coreProperties>
</file>